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62C6A" w14:textId="356B84BF" w:rsidR="00B3402F" w:rsidRDefault="00B3402F" w:rsidP="00B3402F">
      <w:pPr>
        <w:rPr>
          <w:rFonts w:ascii="Calibri" w:hAnsi="Calibri" w:cs="Calibri"/>
          <w:b/>
          <w:snapToGrid w:val="0"/>
          <w:sz w:val="22"/>
          <w:szCs w:val="22"/>
        </w:rPr>
      </w:pPr>
      <w:r>
        <w:rPr>
          <w:rFonts w:ascii="Calibri" w:hAnsi="Calibri" w:cs="Calibri"/>
          <w:b/>
          <w:snapToGrid w:val="0"/>
          <w:sz w:val="22"/>
          <w:szCs w:val="22"/>
        </w:rPr>
        <w:t>Pro účely zařazení dodavatele do Systému kvalifikace „</w:t>
      </w:r>
      <w:r w:rsidR="00D839FC">
        <w:rPr>
          <w:rFonts w:ascii="Calibri" w:hAnsi="Calibri" w:cs="Calibri"/>
          <w:b/>
          <w:snapToGrid w:val="0"/>
          <w:sz w:val="22"/>
          <w:szCs w:val="22"/>
        </w:rPr>
        <w:t xml:space="preserve">Systém </w:t>
      </w:r>
      <w:proofErr w:type="gramStart"/>
      <w:r w:rsidR="00D839FC">
        <w:rPr>
          <w:rFonts w:ascii="Calibri" w:hAnsi="Calibri" w:cs="Calibri"/>
          <w:b/>
          <w:snapToGrid w:val="0"/>
          <w:sz w:val="22"/>
          <w:szCs w:val="22"/>
        </w:rPr>
        <w:t xml:space="preserve">kvalifikace - </w:t>
      </w:r>
      <w:r w:rsidR="00777E36">
        <w:rPr>
          <w:rFonts w:ascii="Calibri" w:hAnsi="Calibri" w:cs="Calibri"/>
          <w:b/>
          <w:snapToGrid w:val="0"/>
          <w:sz w:val="22"/>
          <w:szCs w:val="22"/>
        </w:rPr>
        <w:t>Dodávky</w:t>
      </w:r>
      <w:proofErr w:type="gramEnd"/>
      <w:r w:rsidR="00777E36">
        <w:rPr>
          <w:rFonts w:ascii="Calibri" w:hAnsi="Calibri" w:cs="Calibri"/>
          <w:b/>
          <w:snapToGrid w:val="0"/>
          <w:sz w:val="22"/>
          <w:szCs w:val="22"/>
        </w:rPr>
        <w:t xml:space="preserve"> kabelu</w:t>
      </w:r>
      <w:r>
        <w:rPr>
          <w:rFonts w:ascii="Calibri" w:hAnsi="Calibri" w:cs="Calibri"/>
          <w:b/>
          <w:snapToGrid w:val="0"/>
          <w:sz w:val="22"/>
          <w:szCs w:val="22"/>
        </w:rPr>
        <w:t xml:space="preserve"> </w:t>
      </w:r>
      <w:r w:rsidR="00777E36">
        <w:rPr>
          <w:rFonts w:ascii="Calibri" w:hAnsi="Calibri" w:cs="Calibri"/>
          <w:b/>
          <w:snapToGrid w:val="0"/>
          <w:sz w:val="22"/>
          <w:szCs w:val="22"/>
        </w:rPr>
        <w:t>V</w:t>
      </w:r>
      <w:r>
        <w:rPr>
          <w:rFonts w:ascii="Calibri" w:hAnsi="Calibri" w:cs="Calibri"/>
          <w:b/>
          <w:snapToGrid w:val="0"/>
          <w:sz w:val="22"/>
          <w:szCs w:val="22"/>
        </w:rPr>
        <w:t>VN“</w:t>
      </w:r>
    </w:p>
    <w:p w14:paraId="4182C8AE" w14:textId="77777777" w:rsidR="00B3402F" w:rsidRDefault="00B3402F" w:rsidP="00B3402F">
      <w:pPr>
        <w:rPr>
          <w:rFonts w:ascii="Calibri" w:hAnsi="Calibri" w:cs="Calibri"/>
          <w:b/>
          <w:snapToGrid w:val="0"/>
          <w:sz w:val="22"/>
          <w:szCs w:val="22"/>
        </w:rPr>
      </w:pPr>
    </w:p>
    <w:p w14:paraId="5159A3CF" w14:textId="77777777" w:rsidR="00B3402F" w:rsidRDefault="00B3402F" w:rsidP="00B3402F">
      <w:pPr>
        <w:rPr>
          <w:rFonts w:ascii="Calibri" w:hAnsi="Calibri" w:cs="Calibri"/>
          <w:i/>
          <w:snapToGrid w:val="0"/>
        </w:rPr>
      </w:pPr>
    </w:p>
    <w:p w14:paraId="76EE2BEA" w14:textId="77777777" w:rsidR="00B3402F" w:rsidRDefault="00B3402F" w:rsidP="00B3402F">
      <w:pPr>
        <w:rPr>
          <w:rFonts w:ascii="Calibri" w:hAnsi="Calibri" w:cs="Calibri"/>
          <w:i/>
          <w:snapToGrid w:val="0"/>
          <w:highlight w:val="yellow"/>
        </w:rPr>
      </w:pPr>
      <w:r>
        <w:rPr>
          <w:rFonts w:ascii="Calibri" w:hAnsi="Calibri" w:cs="Calibri"/>
          <w:i/>
          <w:snapToGrid w:val="0"/>
          <w:highlight w:val="yellow"/>
        </w:rPr>
        <w:t>obchodní firma / jméno a příjmení</w:t>
      </w:r>
      <w:r>
        <w:rPr>
          <w:rFonts w:ascii="Calibri" w:hAnsi="Calibri" w:cs="Calibri"/>
          <w:i/>
          <w:snapToGrid w:val="0"/>
          <w:highlight w:val="yellow"/>
          <w:vertAlign w:val="superscript"/>
        </w:rPr>
        <w:footnoteReference w:id="1"/>
      </w:r>
      <w:r>
        <w:rPr>
          <w:rFonts w:ascii="Calibri" w:hAnsi="Calibri" w:cs="Calibri"/>
          <w:snapToGrid w:val="0"/>
          <w:highlight w:val="yellow"/>
        </w:rPr>
        <w:t>……,</w:t>
      </w:r>
    </w:p>
    <w:p w14:paraId="2A17A98B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</w:p>
    <w:p w14:paraId="68D004F2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  <w:r>
        <w:rPr>
          <w:rFonts w:ascii="Calibri" w:hAnsi="Calibri" w:cs="Calibri"/>
          <w:snapToGrid w:val="0"/>
          <w:highlight w:val="yellow"/>
        </w:rPr>
        <w:t>se sídlem</w:t>
      </w:r>
      <w:r>
        <w:rPr>
          <w:rFonts w:ascii="Calibri" w:hAnsi="Calibri" w:cs="Calibri"/>
          <w:snapToGrid w:val="0"/>
          <w:highlight w:val="yellow"/>
        </w:rPr>
        <w:softHyphen/>
      </w:r>
      <w:r>
        <w:rPr>
          <w:rFonts w:ascii="Calibri" w:hAnsi="Calibri" w:cs="Calibri"/>
          <w:snapToGrid w:val="0"/>
          <w:highlight w:val="yellow"/>
        </w:rPr>
        <w:softHyphen/>
        <w:t xml:space="preserve"> / trvale bytem……</w:t>
      </w:r>
    </w:p>
    <w:p w14:paraId="0F5AB4BF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</w:p>
    <w:p w14:paraId="25D4CE64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  <w:proofErr w:type="gramStart"/>
      <w:r>
        <w:rPr>
          <w:rFonts w:ascii="Calibri" w:hAnsi="Calibri" w:cs="Calibri"/>
          <w:snapToGrid w:val="0"/>
          <w:highlight w:val="yellow"/>
        </w:rPr>
        <w:t>IČO:…</w:t>
      </w:r>
      <w:proofErr w:type="gramEnd"/>
      <w:r>
        <w:rPr>
          <w:rFonts w:ascii="Calibri" w:hAnsi="Calibri" w:cs="Calibri"/>
          <w:snapToGrid w:val="0"/>
          <w:highlight w:val="yellow"/>
        </w:rPr>
        <w:t>…</w:t>
      </w:r>
    </w:p>
    <w:p w14:paraId="6FFEA559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</w:p>
    <w:p w14:paraId="171A2B10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  <w:r>
        <w:rPr>
          <w:rFonts w:ascii="Calibri" w:hAnsi="Calibri" w:cs="Calibri"/>
          <w:snapToGrid w:val="0"/>
          <w:highlight w:val="yellow"/>
        </w:rPr>
        <w:t>společnost zapsaná v obchodním rejstříku vedeném ……,</w:t>
      </w:r>
    </w:p>
    <w:p w14:paraId="61F2D5A9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</w:p>
    <w:p w14:paraId="3BFB8DDC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  <w:r>
        <w:rPr>
          <w:rFonts w:ascii="Calibri" w:hAnsi="Calibri" w:cs="Calibri"/>
          <w:snapToGrid w:val="0"/>
          <w:highlight w:val="yellow"/>
        </w:rPr>
        <w:t xml:space="preserve">oddíl ……, vložka </w:t>
      </w:r>
      <w:r>
        <w:rPr>
          <w:rFonts w:ascii="Calibri" w:hAnsi="Calibri" w:cs="Calibri"/>
          <w:snapToGrid w:val="0"/>
          <w:highlight w:val="yellow"/>
        </w:rPr>
        <w:softHyphen/>
      </w:r>
      <w:r>
        <w:rPr>
          <w:rFonts w:ascii="Calibri" w:hAnsi="Calibri" w:cs="Calibri"/>
          <w:snapToGrid w:val="0"/>
          <w:highlight w:val="yellow"/>
        </w:rPr>
        <w:softHyphen/>
        <w:t>……</w:t>
      </w:r>
    </w:p>
    <w:p w14:paraId="3C7E061E" w14:textId="77777777" w:rsidR="00B3402F" w:rsidRDefault="00B3402F" w:rsidP="00B3402F">
      <w:pPr>
        <w:rPr>
          <w:rFonts w:ascii="Calibri" w:hAnsi="Calibri" w:cs="Calibri"/>
          <w:snapToGrid w:val="0"/>
          <w:highlight w:val="yellow"/>
        </w:rPr>
      </w:pPr>
    </w:p>
    <w:p w14:paraId="49BD7488" w14:textId="77777777" w:rsidR="00B3402F" w:rsidRDefault="00B3402F" w:rsidP="00B3402F">
      <w:pPr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  <w:highlight w:val="yellow"/>
        </w:rPr>
        <w:t>zastoupená: ……</w:t>
      </w:r>
    </w:p>
    <w:p w14:paraId="042C51C3" w14:textId="77777777" w:rsidR="00B3402F" w:rsidRDefault="00B3402F" w:rsidP="00B3402F">
      <w:pPr>
        <w:rPr>
          <w:rFonts w:ascii="Calibri" w:hAnsi="Calibri" w:cs="Calibri"/>
        </w:rPr>
      </w:pPr>
    </w:p>
    <w:p w14:paraId="33495CD7" w14:textId="77777777" w:rsidR="00B3402F" w:rsidRDefault="00B3402F" w:rsidP="00B3402F">
      <w:pPr>
        <w:pStyle w:val="Zkladntext2"/>
        <w:jc w:val="both"/>
        <w:rPr>
          <w:rFonts w:ascii="Calibri" w:hAnsi="Calibri" w:cs="Calibri"/>
        </w:rPr>
      </w:pPr>
    </w:p>
    <w:p w14:paraId="207B6406" w14:textId="77777777" w:rsidR="00B3402F" w:rsidRDefault="00B3402F" w:rsidP="00B3402F">
      <w:pPr>
        <w:pStyle w:val="Zkladntext2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čestně prohlašuje, že:</w:t>
      </w:r>
    </w:p>
    <w:p w14:paraId="38B8EB55" w14:textId="77777777" w:rsidR="00B3402F" w:rsidRDefault="00B3402F" w:rsidP="00B3402F">
      <w:pPr>
        <w:pStyle w:val="Zkladntext2"/>
        <w:jc w:val="both"/>
        <w:rPr>
          <w:rFonts w:ascii="Calibri" w:hAnsi="Calibri" w:cs="Calibri"/>
          <w:sz w:val="20"/>
        </w:rPr>
      </w:pPr>
    </w:p>
    <w:p w14:paraId="1A2D2DE3" w14:textId="79D33A56" w:rsidR="0062691E" w:rsidRDefault="008953F8" w:rsidP="00B3402F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</w:pPr>
      <w:r>
        <w:t xml:space="preserve">stane-li se vybraným dodavatelem, předloží před podpisem smlouvy na realizaci veřejné zakázky </w:t>
      </w:r>
      <w:r w:rsidR="00777E36">
        <w:t>kopii dokumentu prokazující</w:t>
      </w:r>
      <w:r w:rsidR="0062691E">
        <w:t>:</w:t>
      </w:r>
    </w:p>
    <w:p w14:paraId="1839706A" w14:textId="2B22581D" w:rsidR="0062691E" w:rsidRDefault="0062691E" w:rsidP="0062691E">
      <w:pPr>
        <w:pStyle w:val="Odstavecseseznamem"/>
        <w:numPr>
          <w:ilvl w:val="1"/>
          <w:numId w:val="1"/>
        </w:numPr>
        <w:tabs>
          <w:tab w:val="left" w:pos="1137"/>
        </w:tabs>
        <w:spacing w:before="120"/>
        <w:ind w:right="312"/>
        <w:jc w:val="both"/>
      </w:pPr>
      <w:r>
        <w:t>oprávnění k montáži a opravám elektrických zařízení dodavatelským způsobem v rozsahu</w:t>
      </w:r>
      <w:r>
        <w:rPr>
          <w:spacing w:val="1"/>
        </w:rPr>
        <w:t xml:space="preserve"> </w:t>
      </w:r>
      <w:r>
        <w:t>alespoň – vyhrazená elektrická zařízení min. pro napěťovou hladinu do 230</w:t>
      </w:r>
      <w:r w:rsidR="00C51812">
        <w:t xml:space="preserve"> kV</w:t>
      </w:r>
      <w:r>
        <w:t>, popř. pro</w:t>
      </w:r>
      <w:r>
        <w:rPr>
          <w:spacing w:val="1"/>
        </w:rPr>
        <w:t xml:space="preserve"> </w:t>
      </w:r>
      <w:r>
        <w:t>napěťovou hladinu bez omezení napětí v objektech třídy</w:t>
      </w:r>
      <w:r w:rsidR="007B470D">
        <w:t xml:space="preserve">  </w:t>
      </w:r>
      <w:r>
        <w:t xml:space="preserve"> A vydané organizací státního</w:t>
      </w:r>
      <w:r>
        <w:rPr>
          <w:spacing w:val="1"/>
        </w:rPr>
        <w:t xml:space="preserve"> </w:t>
      </w:r>
      <w:r>
        <w:t>odborného dozoru nad bezpečností vyhrazených technických zařízení ve smyslu § 154 a §</w:t>
      </w:r>
      <w:r>
        <w:rPr>
          <w:spacing w:val="1"/>
        </w:rPr>
        <w:t xml:space="preserve"> </w:t>
      </w:r>
      <w:r>
        <w:t>155 zákona č. 500/2004 Sb., v platném znění a § 6a odst. 1 písm. c) zákona č. 174/1968 Sb.</w:t>
      </w:r>
      <w:r>
        <w:rPr>
          <w:spacing w:val="-47"/>
        </w:rPr>
        <w:t xml:space="preserve"> </w:t>
      </w:r>
      <w:r>
        <w:t>(TIČR);</w:t>
      </w:r>
    </w:p>
    <w:p w14:paraId="7672A7B2" w14:textId="638C3BCB" w:rsidR="0062691E" w:rsidRPr="00912ADB" w:rsidRDefault="00912ADB" w:rsidP="00912ADB">
      <w:pPr>
        <w:tabs>
          <w:tab w:val="left" w:pos="1137"/>
        </w:tabs>
        <w:spacing w:before="120"/>
        <w:ind w:left="1429" w:right="312"/>
        <w:jc w:val="both"/>
        <w:rPr>
          <w:i/>
          <w:iCs/>
        </w:rPr>
      </w:pPr>
      <w:r>
        <w:rPr>
          <w:i/>
          <w:iCs/>
        </w:rPr>
        <w:t xml:space="preserve">       a</w:t>
      </w:r>
    </w:p>
    <w:p w14:paraId="31BD6C3A" w14:textId="3425308B" w:rsidR="0062691E" w:rsidRDefault="0062691E" w:rsidP="0062691E">
      <w:pPr>
        <w:pStyle w:val="Odstavecseseznamem"/>
        <w:numPr>
          <w:ilvl w:val="1"/>
          <w:numId w:val="1"/>
        </w:numPr>
        <w:tabs>
          <w:tab w:val="left" w:pos="1168"/>
        </w:tabs>
        <w:spacing w:before="120"/>
        <w:ind w:right="312"/>
        <w:jc w:val="both"/>
      </w:pPr>
      <w:r>
        <w:t>oprávnění k revizi elektrických zařízení dodavatelským způsobem v rozsahu alespoň –</w:t>
      </w:r>
      <w:r>
        <w:rPr>
          <w:spacing w:val="1"/>
        </w:rPr>
        <w:t xml:space="preserve"> </w:t>
      </w:r>
      <w:r>
        <w:t>vyhrazená elektrická zařízení min. pro napěťovou hladinu do 230 kV, popř. pro napěťovou</w:t>
      </w:r>
      <w:r>
        <w:rPr>
          <w:spacing w:val="1"/>
        </w:rPr>
        <w:t xml:space="preserve"> </w:t>
      </w:r>
      <w:r>
        <w:t>hladinu bez omezení napětí v objektech třídy A vydané organizací státního odborného</w:t>
      </w:r>
      <w:r>
        <w:rPr>
          <w:spacing w:val="1"/>
        </w:rPr>
        <w:t xml:space="preserve"> </w:t>
      </w:r>
      <w:r>
        <w:t>dozoru nad bezpečností vyhrazených technických zařízení ve smyslu § 154 a § 155 zákona</w:t>
      </w:r>
      <w:r>
        <w:rPr>
          <w:spacing w:val="1"/>
        </w:rPr>
        <w:t xml:space="preserve"> </w:t>
      </w:r>
      <w:r>
        <w:t>č.</w:t>
      </w:r>
      <w:r>
        <w:rPr>
          <w:spacing w:val="-1"/>
        </w:rPr>
        <w:t xml:space="preserve"> </w:t>
      </w:r>
      <w:r>
        <w:t>500/2004</w:t>
      </w:r>
      <w:r>
        <w:rPr>
          <w:spacing w:val="-1"/>
        </w:rPr>
        <w:t xml:space="preserve"> </w:t>
      </w:r>
      <w:r>
        <w:t>Sb.,</w:t>
      </w:r>
      <w:r>
        <w:rPr>
          <w:spacing w:val="-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platném</w:t>
      </w:r>
      <w:r>
        <w:rPr>
          <w:spacing w:val="-2"/>
        </w:rPr>
        <w:t xml:space="preserve"> </w:t>
      </w:r>
      <w:r>
        <w:t>znění</w:t>
      </w:r>
      <w:r>
        <w:rPr>
          <w:spacing w:val="-2"/>
        </w:rPr>
        <w:t xml:space="preserve"> </w:t>
      </w:r>
      <w:r>
        <w:t>a §</w:t>
      </w:r>
      <w:r>
        <w:rPr>
          <w:spacing w:val="-3"/>
        </w:rPr>
        <w:t xml:space="preserve"> </w:t>
      </w:r>
      <w:r>
        <w:t>6a</w:t>
      </w:r>
      <w:r>
        <w:rPr>
          <w:spacing w:val="-3"/>
        </w:rPr>
        <w:t xml:space="preserve"> </w:t>
      </w:r>
      <w:r>
        <w:t>odst.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písm.</w:t>
      </w:r>
      <w:r>
        <w:rPr>
          <w:spacing w:val="-2"/>
        </w:rPr>
        <w:t xml:space="preserve"> </w:t>
      </w:r>
      <w:r>
        <w:t>c) zákona</w:t>
      </w:r>
      <w:r>
        <w:rPr>
          <w:spacing w:val="-4"/>
        </w:rPr>
        <w:t xml:space="preserve"> </w:t>
      </w:r>
      <w:r>
        <w:t>č.</w:t>
      </w:r>
      <w:r>
        <w:rPr>
          <w:spacing w:val="-2"/>
        </w:rPr>
        <w:t xml:space="preserve"> </w:t>
      </w:r>
      <w:r>
        <w:t>174/1968</w:t>
      </w:r>
      <w:r>
        <w:rPr>
          <w:spacing w:val="-2"/>
        </w:rPr>
        <w:t xml:space="preserve"> </w:t>
      </w:r>
      <w:r>
        <w:t>Sb.</w:t>
      </w:r>
      <w:r>
        <w:rPr>
          <w:spacing w:val="-2"/>
        </w:rPr>
        <w:t xml:space="preserve"> </w:t>
      </w:r>
      <w:r>
        <w:t>(TIČR);</w:t>
      </w:r>
    </w:p>
    <w:p w14:paraId="41BE590D" w14:textId="77777777" w:rsidR="0062691E" w:rsidRDefault="0062691E" w:rsidP="0062691E">
      <w:pPr>
        <w:pStyle w:val="Stylodstavecslovan"/>
        <w:tabs>
          <w:tab w:val="clear" w:pos="142"/>
          <w:tab w:val="left" w:pos="708"/>
        </w:tabs>
        <w:spacing w:line="276" w:lineRule="auto"/>
        <w:ind w:left="794" w:firstLine="0"/>
      </w:pPr>
    </w:p>
    <w:p w14:paraId="729B20B8" w14:textId="77777777" w:rsidR="00777E36" w:rsidRDefault="00777E36" w:rsidP="00B3402F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sz w:val="20"/>
        </w:rPr>
      </w:pPr>
    </w:p>
    <w:p w14:paraId="244D5B2C" w14:textId="77777777" w:rsidR="00B3402F" w:rsidRDefault="00B3402F" w:rsidP="00B3402F">
      <w:pPr>
        <w:pStyle w:val="Stylodstavecslovan"/>
        <w:tabs>
          <w:tab w:val="clear" w:pos="142"/>
          <w:tab w:val="left" w:pos="708"/>
        </w:tabs>
        <w:spacing w:line="276" w:lineRule="auto"/>
        <w:ind w:left="0" w:firstLine="0"/>
      </w:pPr>
    </w:p>
    <w:p w14:paraId="46AF6998" w14:textId="77777777" w:rsidR="00B3402F" w:rsidRDefault="00B3402F" w:rsidP="00B3402F">
      <w:pPr>
        <w:rPr>
          <w:rFonts w:ascii="Calibri" w:hAnsi="Calibri" w:cs="Calibri"/>
        </w:rPr>
      </w:pPr>
    </w:p>
    <w:p w14:paraId="5E8B096B" w14:textId="77777777" w:rsidR="0049566B" w:rsidRDefault="0049566B" w:rsidP="0049566B">
      <w:pPr>
        <w:keepNext/>
        <w:outlineLvl w:val="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 </w:t>
      </w:r>
      <w:r>
        <w:rPr>
          <w:rFonts w:ascii="Calibri" w:hAnsi="Calibri" w:cs="Calibri"/>
          <w:sz w:val="22"/>
          <w:szCs w:val="22"/>
          <w:highlight w:val="yellow"/>
        </w:rPr>
        <w:t>______________</w:t>
      </w:r>
      <w:r>
        <w:rPr>
          <w:rFonts w:ascii="Calibri" w:hAnsi="Calibri" w:cs="Calibri"/>
          <w:sz w:val="22"/>
          <w:szCs w:val="22"/>
        </w:rPr>
        <w:t xml:space="preserve"> dne </w:t>
      </w:r>
      <w:r>
        <w:rPr>
          <w:rFonts w:ascii="Calibri" w:hAnsi="Calibri" w:cs="Calibri"/>
          <w:sz w:val="22"/>
          <w:szCs w:val="22"/>
          <w:highlight w:val="yellow"/>
        </w:rPr>
        <w:t>____________</w:t>
      </w:r>
    </w:p>
    <w:p w14:paraId="45D14A86" w14:textId="77777777" w:rsidR="00B3402F" w:rsidRDefault="00B3402F"/>
    <w:sectPr w:rsidR="00B340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82602" w14:textId="77777777" w:rsidR="00FE6FFD" w:rsidRDefault="00FE6FFD" w:rsidP="00B3402F">
      <w:r>
        <w:separator/>
      </w:r>
    </w:p>
  </w:endnote>
  <w:endnote w:type="continuationSeparator" w:id="0">
    <w:p w14:paraId="4CAACEDE" w14:textId="77777777" w:rsidR="00FE6FFD" w:rsidRDefault="00FE6FFD" w:rsidP="00B34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F6089" w14:textId="77777777" w:rsidR="00FE6FFD" w:rsidRDefault="00FE6FFD" w:rsidP="00B3402F">
      <w:r>
        <w:separator/>
      </w:r>
    </w:p>
  </w:footnote>
  <w:footnote w:type="continuationSeparator" w:id="0">
    <w:p w14:paraId="2ED2F6A9" w14:textId="77777777" w:rsidR="00FE6FFD" w:rsidRDefault="00FE6FFD" w:rsidP="00B3402F">
      <w:r>
        <w:continuationSeparator/>
      </w:r>
    </w:p>
  </w:footnote>
  <w:footnote w:id="1">
    <w:p w14:paraId="1AE53F70" w14:textId="77777777" w:rsidR="00B3402F" w:rsidRDefault="00B3402F" w:rsidP="00B3402F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B656" w14:textId="5213BD96" w:rsidR="0051507D" w:rsidRPr="00DA0ADB" w:rsidRDefault="0051507D" w:rsidP="0051507D">
    <w:pPr>
      <w:pStyle w:val="Zhlav"/>
      <w:jc w:val="right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 xml:space="preserve">Příloha 10 </w:t>
    </w:r>
    <w:r w:rsidRPr="00DA0ADB">
      <w:rPr>
        <w:rFonts w:ascii="Calibri" w:hAnsi="Calibri" w:cs="Calibri"/>
        <w:sz w:val="22"/>
        <w:szCs w:val="22"/>
      </w:rPr>
      <w:t xml:space="preserve">ČP o </w:t>
    </w:r>
    <w:r w:rsidR="00C80FAF">
      <w:rPr>
        <w:rFonts w:ascii="Calibri" w:hAnsi="Calibri" w:cs="Calibri"/>
        <w:sz w:val="22"/>
        <w:szCs w:val="22"/>
      </w:rPr>
      <w:t>předložení oprávnění TIČR</w:t>
    </w:r>
  </w:p>
  <w:p w14:paraId="198D1E4D" w14:textId="00FED763" w:rsidR="0051507D" w:rsidRDefault="0051507D">
    <w:pPr>
      <w:pStyle w:val="Zhlav"/>
    </w:pPr>
  </w:p>
  <w:p w14:paraId="4C1D60D1" w14:textId="77777777" w:rsidR="0051507D" w:rsidRDefault="005150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833A3"/>
    <w:multiLevelType w:val="hybridMultilevel"/>
    <w:tmpl w:val="5320653E"/>
    <w:lvl w:ilvl="0" w:tplc="86167EF6">
      <w:start w:val="1"/>
      <w:numFmt w:val="lowerRoman"/>
      <w:lvlText w:val="%1."/>
      <w:lvlJc w:val="left"/>
      <w:pPr>
        <w:ind w:left="1556" w:hanging="7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cs-CZ" w:eastAsia="en-US" w:bidi="ar-SA"/>
      </w:rPr>
    </w:lvl>
    <w:lvl w:ilvl="1" w:tplc="2E1C3DCE">
      <w:numFmt w:val="bullet"/>
      <w:lvlText w:val="•"/>
      <w:lvlJc w:val="left"/>
      <w:pPr>
        <w:ind w:left="1110" w:hanging="16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cs-CZ" w:eastAsia="en-US" w:bidi="ar-SA"/>
      </w:rPr>
    </w:lvl>
    <w:lvl w:ilvl="2" w:tplc="9B8CBAA4">
      <w:numFmt w:val="bullet"/>
      <w:lvlText w:val="•"/>
      <w:lvlJc w:val="left"/>
      <w:pPr>
        <w:ind w:left="2442" w:hanging="168"/>
      </w:pPr>
      <w:rPr>
        <w:rFonts w:hint="default"/>
        <w:lang w:val="cs-CZ" w:eastAsia="en-US" w:bidi="ar-SA"/>
      </w:rPr>
    </w:lvl>
    <w:lvl w:ilvl="3" w:tplc="A20405FA">
      <w:numFmt w:val="bullet"/>
      <w:lvlText w:val="•"/>
      <w:lvlJc w:val="left"/>
      <w:pPr>
        <w:ind w:left="3325" w:hanging="168"/>
      </w:pPr>
      <w:rPr>
        <w:rFonts w:hint="default"/>
        <w:lang w:val="cs-CZ" w:eastAsia="en-US" w:bidi="ar-SA"/>
      </w:rPr>
    </w:lvl>
    <w:lvl w:ilvl="4" w:tplc="AFA00410">
      <w:numFmt w:val="bullet"/>
      <w:lvlText w:val="•"/>
      <w:lvlJc w:val="left"/>
      <w:pPr>
        <w:ind w:left="4208" w:hanging="168"/>
      </w:pPr>
      <w:rPr>
        <w:rFonts w:hint="default"/>
        <w:lang w:val="cs-CZ" w:eastAsia="en-US" w:bidi="ar-SA"/>
      </w:rPr>
    </w:lvl>
    <w:lvl w:ilvl="5" w:tplc="2C7612DE">
      <w:numFmt w:val="bullet"/>
      <w:lvlText w:val="•"/>
      <w:lvlJc w:val="left"/>
      <w:pPr>
        <w:ind w:left="5091" w:hanging="168"/>
      </w:pPr>
      <w:rPr>
        <w:rFonts w:hint="default"/>
        <w:lang w:val="cs-CZ" w:eastAsia="en-US" w:bidi="ar-SA"/>
      </w:rPr>
    </w:lvl>
    <w:lvl w:ilvl="6" w:tplc="0AC68E64">
      <w:numFmt w:val="bullet"/>
      <w:lvlText w:val="•"/>
      <w:lvlJc w:val="left"/>
      <w:pPr>
        <w:ind w:left="5974" w:hanging="168"/>
      </w:pPr>
      <w:rPr>
        <w:rFonts w:hint="default"/>
        <w:lang w:val="cs-CZ" w:eastAsia="en-US" w:bidi="ar-SA"/>
      </w:rPr>
    </w:lvl>
    <w:lvl w:ilvl="7" w:tplc="32DC9EE4">
      <w:numFmt w:val="bullet"/>
      <w:lvlText w:val="•"/>
      <w:lvlJc w:val="left"/>
      <w:pPr>
        <w:ind w:left="6857" w:hanging="168"/>
      </w:pPr>
      <w:rPr>
        <w:rFonts w:hint="default"/>
        <w:lang w:val="cs-CZ" w:eastAsia="en-US" w:bidi="ar-SA"/>
      </w:rPr>
    </w:lvl>
    <w:lvl w:ilvl="8" w:tplc="2976180C">
      <w:numFmt w:val="bullet"/>
      <w:lvlText w:val="•"/>
      <w:lvlJc w:val="left"/>
      <w:pPr>
        <w:ind w:left="7740" w:hanging="168"/>
      </w:pPr>
      <w:rPr>
        <w:rFonts w:hint="default"/>
        <w:lang w:val="cs-CZ" w:eastAsia="en-US" w:bidi="ar-SA"/>
      </w:rPr>
    </w:lvl>
  </w:abstractNum>
  <w:abstractNum w:abstractNumId="1" w15:restartNumberingAfterBreak="0">
    <w:nsid w:val="79064079"/>
    <w:multiLevelType w:val="hybridMultilevel"/>
    <w:tmpl w:val="D1961586"/>
    <w:lvl w:ilvl="0" w:tplc="4ED6C73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02F"/>
    <w:rsid w:val="000961AD"/>
    <w:rsid w:val="000E4EDA"/>
    <w:rsid w:val="002237C5"/>
    <w:rsid w:val="002F382A"/>
    <w:rsid w:val="0049566B"/>
    <w:rsid w:val="0051507D"/>
    <w:rsid w:val="005E7F2A"/>
    <w:rsid w:val="0062691E"/>
    <w:rsid w:val="006546DC"/>
    <w:rsid w:val="006B28D4"/>
    <w:rsid w:val="00777E36"/>
    <w:rsid w:val="007B470D"/>
    <w:rsid w:val="007F35D7"/>
    <w:rsid w:val="00883B96"/>
    <w:rsid w:val="008953F8"/>
    <w:rsid w:val="00912ADB"/>
    <w:rsid w:val="0091733C"/>
    <w:rsid w:val="0095676A"/>
    <w:rsid w:val="00A40219"/>
    <w:rsid w:val="00B27578"/>
    <w:rsid w:val="00B3402F"/>
    <w:rsid w:val="00BE2310"/>
    <w:rsid w:val="00C51812"/>
    <w:rsid w:val="00C53C42"/>
    <w:rsid w:val="00C75144"/>
    <w:rsid w:val="00C80FAF"/>
    <w:rsid w:val="00D40E4C"/>
    <w:rsid w:val="00D839FC"/>
    <w:rsid w:val="00DA4C88"/>
    <w:rsid w:val="00DB0A6B"/>
    <w:rsid w:val="00E70DCD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BF4D4"/>
  <w15:chartTrackingRefBased/>
  <w15:docId w15:val="{BA40E3F5-11DE-4879-B5F1-0B8A22211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4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40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3402F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B3402F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3402F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340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B3402F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3402F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B3402F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B3402F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B3402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402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Odstavecseseznamem">
    <w:name w:val="List Paragraph"/>
    <w:basedOn w:val="Normln"/>
    <w:uiPriority w:val="1"/>
    <w:qFormat/>
    <w:rsid w:val="0062691E"/>
    <w:pPr>
      <w:widowControl w:val="0"/>
      <w:autoSpaceDE w:val="0"/>
      <w:autoSpaceDN w:val="0"/>
      <w:ind w:left="836" w:hanging="361"/>
    </w:pPr>
    <w:rPr>
      <w:rFonts w:ascii="Calibri" w:eastAsia="Calibri" w:hAnsi="Calibri" w:cs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50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1507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150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1507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3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Horčičková, Blanka</dc:creator>
  <cp:keywords/>
  <dc:description/>
  <cp:lastModifiedBy>Švandová, Eva</cp:lastModifiedBy>
  <cp:revision>5</cp:revision>
  <dcterms:created xsi:type="dcterms:W3CDTF">2022-08-04T17:10:00Z</dcterms:created>
  <dcterms:modified xsi:type="dcterms:W3CDTF">2022-08-05T07:06:00Z</dcterms:modified>
</cp:coreProperties>
</file>